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Promedio de variables de empleo por 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05"/>
        <w:gridCol w:w="1670"/>
        <w:gridCol w:w="2429"/>
        <w:gridCol w:w="2111"/>
        <w:gridCol w:w="29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empleo_permanente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empleo_temporal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participacion_permanente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84.450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66.465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94.754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66.471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66.470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103.951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66.777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66.517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117.387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66.956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122.198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73.796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45.104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67.123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2026-09-15T00:28:21Z</dcterms:modified>
  <cp:category/>
</cp:coreProperties>
</file>