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Distribución de tamaño de empresa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3"/>
        <w:gridCol w:w="16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tamano_empresa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n_firma_anio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37,289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17,749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7,778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2026-09-15T00:28:26Z</dcterms:modified>
  <cp:category/>
</cp:coreProperties>
</file>