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1. Primer eslabón: efecto sobre el costo laboral por trabajador, tres lecturas y cinco medidas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Primer eslabón: efecto sobre el costo laboral por trabajador, tres lecturas y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53,972</w:t>
            </w:r>
          </w:p>
        </w:tc>
      </w:tr>
    </w:tbl>
    <w:p>
      <w:pPr>
        <w:pStyle w:val="Titre2"/>
      </w:pPr>
      <w:r>
        <w:t xml:space="preserve">Tabla 2. Segundo eslabón: efecto sobre el empleo total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Segundo eslabón: efecto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1951"/>
        <w:gridCol w:w="4679"/>
        <w:gridCol w:w="1426"/>
        <w:gridCol w:w="1585"/>
        <w:gridCol w:w="1707"/>
        <w:gridCol w:w="1132"/>
        <w:gridCol w:w="1609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escala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-103.512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-378.571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171.547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-117.185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-426.246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191.876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-172.736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-435.751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-61.871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-203.710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79.968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-127.900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-295.708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-26.938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413.097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-53.867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-234.754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127.021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-123.988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-326.246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-198.353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182.530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-141.686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-332.695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-200.101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-418.379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-41.827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-283.842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200.187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-350.403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-545.002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-155.805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-454.460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-677.337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-231.583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Trabajadores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-83.614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-312.624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50,185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 (cambio 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53,975</w:t>
            </w:r>
          </w:p>
        </w:tc>
      </w:tr>
    </w:tbl>
    <w:p>
      <w:pPr>
        <w:pStyle w:val="Titre2"/>
      </w:pPr>
      <w:r>
        <w:t xml:space="preserve">Tabla 3.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132"/>
        <w:gridCol w:w="1426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-0.7537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-2.0733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4. Elasticidad implícita empleo-costo laboral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Elasticidad implícita empleo-costo laboral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969"/>
        <w:gridCol w:w="2343"/>
        <w:gridCol w:w="1548"/>
        <w:gridCol w:w="1768"/>
        <w:gridCol w:w="1891"/>
        <w:gridCol w:w="1450"/>
        <w:gridCol w:w="2086"/>
        <w:gridCol w:w="220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primer_eslabon_pct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empleo_ic_sup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elasticidad_ic_sup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(proporción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(nivel salarial, 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(armónica 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 (costo laboral total)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-3.071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-4.260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-0.173</w:t>
            </w:r>
          </w:p>
        </w:tc>
      </w:tr>
    </w:tbl>
    <w:p>
      <w:pPr>
        <w:pStyle w:val="Titre2"/>
      </w:pPr>
      <w:r>
        <w:t xml:space="preserve">Tabla 5. Mecanismos de ajuste: efecto en 2023 por DE de exposición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Mecanismos de ajuste: efecto en 2023 por DE de exposición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62"/>
        <w:gridCol w:w="3944"/>
        <w:gridCol w:w="1426"/>
        <w:gridCol w:w="1585"/>
        <w:gridCol w:w="1707"/>
        <w:gridCol w:w="1132"/>
        <w:gridCol w:w="2282"/>
        <w:gridCol w:w="1854"/>
        <w:gridCol w:w="2563"/>
        <w:gridCol w:w="1365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grupo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mecanismo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significancia_cruda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p_ajustado_bh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significancia_ajustada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 directo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-3.238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-6.962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16,213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43,675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Usa agencias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Personal de agencias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15,614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temporales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de 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Composición contractual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44,249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Composición ocupacional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% obreros (OJO: circular)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Compresión salarial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/ salario admin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10.244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40,726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Hace outsourcing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Pago a agencias temporales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Outsourcing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-9.371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12,622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Tercerización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Honorarios y servicios técnicos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41,363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Inversión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-7.174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Capital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Invierte (indicador)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Productividad (VA / trabajador, 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Producción bruta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44,624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Producción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 agregado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</w:tr>
    </w:tbl>
    <w:p>
      <w:pPr>
        <w:pStyle w:val="Titre2"/>
      </w:pPr>
      <w:r>
        <w:t xml:space="preserve">Tabla 6. Efecto en 2023 por tamaño de firma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Efecto en 2023 por tamaño de firma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1707"/>
        <w:gridCol w:w="1426"/>
        <w:gridCol w:w="1585"/>
        <w:gridCol w:w="1707"/>
        <w:gridCol w:w="1132"/>
        <w:gridCol w:w="1609"/>
        <w:gridCol w:w="182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6.447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 laboral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-0.830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7,151</w:t>
            </w:r>
          </w:p>
        </w:tc>
      </w:tr>
    </w:tbl>
    <w:p>
      <w:pPr>
        <w:pStyle w:val="Titre2"/>
      </w:pPr>
      <w:r>
        <w:t xml:space="preserve">Tabla 7. Coeficiente de 2023 con año base 2022 y 2019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Coeficiente de 2023 con año base 2022 y 2019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48"/>
        <w:gridCol w:w="900"/>
        <w:gridCol w:w="1426"/>
        <w:gridCol w:w="1585"/>
        <w:gridCol w:w="1707"/>
        <w:gridCol w:w="1132"/>
        <w:gridCol w:w="160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log_empleo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</w:tr>
    </w:tbl>
    <w:p>
      <w:pPr>
        <w:pStyle w:val="Titre2"/>
      </w:pPr>
      <w:r>
        <w:t xml:space="preserve">Tabla 8. Resultado principal con la medida Bite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Resultado principal con la medida Bite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2"/>
        <w:gridCol w:w="4679"/>
        <w:gridCol w:w="1426"/>
        <w:gridCol w:w="1585"/>
        <w:gridCol w:w="1707"/>
        <w:gridCol w:w="1132"/>
        <w:gridCol w:w="1609"/>
        <w:gridCol w:w="136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eslabon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p_previos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2.922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5.153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Costo laboral por trabajador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ajustado por tendencia previa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DiD simple (promedio post - pre)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-2.437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2026-09-27T14:46:31Z</dcterms:modified>
  <cp:category/>
</cp:coreProperties>
</file>