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eslabón: efecto sobre el costo laboral por trabajador, tres lecturas y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2026-09-27T14:46:12Z</dcterms:modified>
  <cp:category/>
</cp:coreProperties>
</file>