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Diez sectores (CIIU4) con más firmas y % en alta exposición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22"/>
        <w:gridCol w:w="1010"/>
        <w:gridCol w:w="307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sector_2022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firmas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porcentaje_alta_exposicion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51.6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53.4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73.6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45.1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57.8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41.5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2026-09-17T00:34:17Z</dcterms:modified>
  <cp:category/>
</cp:coreProperties>
</file>