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6. Promedios antes y después de 2023 por grupo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52"/>
        <w:gridCol w:w="4043"/>
        <w:gridCol w:w="4349"/>
        <w:gridCol w:w="4116"/>
        <w:gridCol w:w="4422"/>
        <w:gridCol w:w="2306"/>
        <w:gridCol w:w="238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exposicion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salario_promedio_Antes (2015-2022)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salario_promedio_Después (2023-2024)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empleo_promedio_Antes (2015-2022)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empleo_promedio_Después (2023-2024)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cambio_salario_pct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cambio_empleo_pct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35,047.8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51,351.8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25,029.2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34,387.4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2026-09-17T00:34:21Z</dcterms:modified>
  <cp:category/>
</cp:coreProperties>
</file>