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Características de las firmas por grupo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1010"/>
        <w:gridCol w:w="1903"/>
        <w:gridCol w:w="2172"/>
        <w:gridCol w:w="2098"/>
        <w:gridCol w:w="3395"/>
        <w:gridCol w:w="305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salario_promedio_anual_miles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188.73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43,953.73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69.53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29,598.85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2026-09-17T01:47:23Z</dcterms:modified>
  <cp:category/>
</cp:coreProperties>
</file>