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8. Primer eslabón: aumento del salario promedio en firmas más expuestas (tres lecturas)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6096"/>
        <w:gridCol w:w="1462"/>
        <w:gridCol w:w="1854"/>
        <w:gridCol w:w="1132"/>
        <w:gridCol w:w="1609"/>
        <w:gridCol w:w="1609"/>
        <w:gridCol w:w="1731"/>
        <w:gridCol w:w="216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efecto_porcentual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Cambio 2022 -&gt; 2023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4.0276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Salto 2023 frente al cambio anual típico 2016-2019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4.7816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Promedio después menos promedio antes (DiD simple)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-0.0091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-0.0168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-0.9055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2026-09-17T01:47:39Z</dcterms:modified>
  <cp:category/>
</cp:coreProperties>
</file>