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Resultado principal: efecto del aumento de 2023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2026-09-17T01:47:41Z</dcterms:modified>
  <cp:category/>
</cp:coreProperties>
</file>