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0b. Reconstrucción de 2019 y 2021 desde la macrobase frente al panel (% de firmas iguales)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4227"/>
        <w:gridCol w:w="2037"/>
        <w:gridCol w:w="2453"/>
        <w:gridCol w:w="2025"/>
        <w:gridCol w:w="225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firmas_en_panel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firmas_reconstruidas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firmas_cruzadas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porcentaje_iguales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2026-09-17T01:47:11Z</dcterms:modified>
  <cp:category/>
</cp:coreProperties>
</file>