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0. Columnas usadas: porcentaje de vacíos y ceros en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48"/>
        <w:gridCol w:w="2796"/>
        <w:gridCol w:w="27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porcentaje_vacios_2022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porcentaje_ceros_2022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NORDEMP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tamano_empresa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sueldos_permanentes_administrativos_c3r2c2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sueldos_permanentes_profesionales_c3r2pt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profesionales_permanentes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2026-09-17T00:32:51Z</dcterms:modified>
  <cp:category/>
</cp:coreProperties>
</file>