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Tablero de validaciones: pregunta del jurado, resultado y qué mirar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9"/>
        <w:gridCol w:w="7186"/>
        <w:gridCol w:w="12371"/>
        <w:gridCol w:w="998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pregunta_del_jurado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que_mirar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V1. Sensibilidad (salario)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aumento salarial aguanta si los grupos venían distintos?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Intervalo con M = 1: [-0.91%; 8.99%]. M de quiebre: 0.76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 de quiebre mayor que 1: el salto de 2023 supera el peor movimiento previo.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V1. Sensibilidad (empleo)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¿Qué rango de efectos sobre el empleo es compatible con los datos?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Intervalo con M = 1: [-4.58%; 0.75%]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rango de caídas de empleo que no se pueden descartar.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V2. Período de comparación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resultado depende de que 2022 fue un año alto?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Frente a 2022: -1.91% [-3.11; -0.72], p 0.002. Frente a 2015-2019: -0.74% [-2.54; 1.06], p 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 cambian de signo o de significancia, el resultado depende de la referencia.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V3. Kaitz 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salto salarial es efecto del mínimo o recuperación de 2022?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Salto 2023 con Kaitz 2019: 2.21% [1.34; 3.08], p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Positivo y significativo: el salto no es solo recuperación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V4. Solo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¿No es el fin del incentivo al empleo lo que ven?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(log), solo 2024: -1.06% [-2.74; 0.62], p 0.217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 2024 se parece a 2023, pesa más el mínimo que el fin del subsidio.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 Ventas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¿Las ventas venían parecidas antes?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años previos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 0,05: el resultado de ventas no se lee como efecto de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V5. Brecha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¿La compresión salarial venía de antes?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años previos &lt; 0,001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&lt; 0,05: la compresión no se lee como efecto de 2023.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V6. Placebo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¿El método encuentra 'efectos' en cualquier año?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(log): -0.83% [-2.17; 0.5], p 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significativo: el método no inventa efectos donde no hubo choque.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V7 a V10. 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¿Cambia con otra muestra, otros controles u otros errores?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(log) entre -4.77% y -0.85%; significativo en 2 de 5 versiones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 R01: qué versiones cambian el resultado (en especial V8 sin controles).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V11. Medida de Kaitz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¿Por qué esa medida de exposición y no otra?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Elegida por la regla: Kaitz promedio (salto salarial 4.02%, M de quiebre 0.76)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regla está escrita antes de correr; el empleo no se usa para elegir.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V12.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¿Qué control cambia el resultado del empleo?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controles: -4.77% (p previos &lt; 0,001). + tamaño: -0.85% (p previos 0.536). + departamento: -4.48% (p previos &lt; 0,001)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control que acerca el efecto a cero y limpia los años previos es el que justifica la especificación.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2026-09-17T01:12:37Z</dcterms:modified>
  <cp:category/>
</cp:coreProperties>
</file>