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V3. Salario y empleo con Kaitz medido en 2019 y en 2022 (mismas firmas)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5889"/>
        <w:gridCol w:w="1462"/>
        <w:gridCol w:w="1854"/>
        <w:gridCol w:w="1132"/>
        <w:gridCol w:w="1609"/>
        <w:gridCol w:w="1609"/>
        <w:gridCol w:w="1731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2026-09-17T01:11:54Z</dcterms:modified>
  <cp:category/>
</cp:coreProperties>
</file>