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V4. Efecto usando solo 2023 o solo 2024 como año después (2024 sin subsidios)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2587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periodo_despues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2023 -&gt;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2023 -&gt; 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2026-09-17T01:12:01Z</dcterms:modified>
  <cp:category/>
</cp:coreProperties>
</file>