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V11b. Regla de decisión: medida de exposición principal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2306"/>
        <w:gridCol w:w="1120"/>
        <w:gridCol w:w="2526"/>
        <w:gridCol w:w="2588"/>
        <w:gridCol w:w="3224"/>
        <w:gridCol w:w="112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salto_salarial_2023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p_salto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pasa_primer_eslabon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M_de_quiebre_salario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p_años_previos_empleo_log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elegida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promedio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2026-09-17T01:12:21Z</dcterms:modified>
  <cp:category/>
</cp:coreProperties>
</file>