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Primer eslabón con exposición de 2019 y crecimiento 2022-2023 (especificación principal)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 eslabón con exposición de 2019 y crecimiento 2022-2023 (especificación principal)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426"/>
        <w:gridCol w:w="2025"/>
        <w:gridCol w:w="2147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</w:tbl>
    <w:p>
      <w:pPr>
        <w:pStyle w:val="Titre2"/>
      </w:pPr>
      <w:r>
        <w:t xml:space="preserve">Tabla 2. Todas las combinaciones de año base de exposición y de outcome, con su problema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Todas las combinaciones de año base de exposición y de outcome, con su problema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3786"/>
        <w:gridCol w:w="1426"/>
        <w:gridCol w:w="1132"/>
        <w:gridCol w:w="1609"/>
        <w:gridCol w:w="1829"/>
        <w:gridCol w:w="85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</w:tbl>
    <w:p>
      <w:pPr>
        <w:pStyle w:val="Titre2"/>
      </w:pPr>
      <w:r>
        <w:t xml:space="preserve">Tabla 3. Correlación de cada medida entre 2019 y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Correlación de cada medida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316"/>
        <w:gridCol w:w="1206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n_ambos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0.5903</w:t>
            </w:r>
          </w:p>
        </w:tc>
      </w:tr>
    </w:tbl>
    <w:p>
      <w:pPr>
        <w:pStyle w:val="Titre2"/>
      </w:pPr>
      <w:r>
        <w:t xml:space="preserve">Tabla 4. Efecto por quintil de exposición, frente al quintil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Efecto por quintil de exposición, frente al quintil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4"/>
        <w:gridCol w:w="985"/>
        <w:gridCol w:w="1462"/>
        <w:gridCol w:w="1854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5. Decisión de medida según la celda limpia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Decisión de medida según la celda limpia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3150"/>
        <w:gridCol w:w="2123"/>
        <w:gridCol w:w="1230"/>
        <w:gridCol w:w="3431"/>
        <w:gridCol w:w="2404"/>
        <w:gridCol w:w="2380"/>
        <w:gridCol w:w="1878"/>
        <w:gridCol w:w="33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crit_1_limpia_positiva_y_sig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crit_2_estandar_positiva_y_sig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estabilidad_pearson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n_celda_limpia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razon_limpia_sobre_estandar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2026-09-27T20:03:31Z</dcterms:modified>
  <cp:category/>
</cp:coreProperties>
</file>