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 con exposición de 2019 y crecimiento 2022-2023 (especificación principal)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426"/>
        <w:gridCol w:w="2025"/>
        <w:gridCol w:w="2147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nombre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 de obreros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Proporción de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2026-09-27T20:03:24Z</dcterms:modified>
  <cp:category/>
</cp:coreProperties>
</file>