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Todas las combinaciones de año base de exposición y de outcome, con su problema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3786"/>
        <w:gridCol w:w="1426"/>
        <w:gridCol w:w="1132"/>
        <w:gridCol w:w="1609"/>
        <w:gridCol w:w="1829"/>
        <w:gridCol w:w="859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traslape, pero mezcla dos aumentos del mínimo y parte de 2021 (pospandemia)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traslape, pero mezcla dos aumentos del mínimo y parte de 2021 (pospandemia)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traslape, pero mezcla dos aumentos del mínimo y parte de 2021 (pospandemia)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traslape, pero mezcla dos aumentos del mínimo y parte de 2021 (pospandemia)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Proporción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Proporción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traslape, pero mezcla dos aumentos del mínimo y parte de 2021 (pospandemia)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Proporción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Proporción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Proporción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Proporción de obreros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2026-09-27T20:03:26Z</dcterms:modified>
  <cp:category/>
</cp:coreProperties>
</file>