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Efecto por quintil de exposición, frente al quintil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4"/>
        <w:gridCol w:w="985"/>
        <w:gridCol w:w="1462"/>
        <w:gridCol w:w="1854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2026-09-27T20:03:28Z</dcterms:modified>
  <cp:category/>
</cp:coreProperties>
</file>