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Decisión de medida según la celda limpia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3150"/>
        <w:gridCol w:w="2123"/>
        <w:gridCol w:w="1230"/>
        <w:gridCol w:w="3431"/>
        <w:gridCol w:w="2404"/>
        <w:gridCol w:w="2380"/>
        <w:gridCol w:w="1878"/>
        <w:gridCol w:w="33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crit_1_limpia_positiva_y_sig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efecto_limpia_pct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p_limpia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crit_2_estandar_positiva_y_sig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efecto_estandar_pct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estabilidad_pearson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n_celda_limpia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razon_limpia_sobre_estandar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2026-09-24T21:12:02Z</dcterms:modified>
  <cp:category/>
</cp:coreProperties>
</file>