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1: % incoherente según si reporta salario integral (chi2=2789.2, p=0)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8"/>
        <w:gridCol w:w="1084"/>
        <w:gridCol w:w="19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Reporta salario integral &gt;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80.950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reporta salario integral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77,310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2026-09-24T20:28:15Z</dcterms:modified>
  <cp:category/>
</cp:coreProperties>
</file>