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Descomposición de la varianza del Kaitz en nivel y composición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6"/>
        <w:gridCol w:w="1084"/>
        <w:gridCol w:w="35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porcentaje_de_la_varianza_total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var_nivel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151.3000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var_composicion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var_kaitz_ingenuo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2026-09-24T20:35:02Z</dcterms:modified>
  <cp:category/>
</cp:coreProperties>
</file>