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Mecanismos de ajuste ordenados por magnitud, en desviaciones estándar del propio mecanismo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55"/>
        <w:gridCol w:w="3321"/>
        <w:gridCol w:w="2074"/>
        <w:gridCol w:w="1193"/>
        <w:gridCol w:w="1316"/>
        <w:gridCol w:w="1756"/>
        <w:gridCol w:w="961"/>
        <w:gridCol w:w="2074"/>
        <w:gridCol w:w="1756"/>
        <w:gridCol w:w="961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efecto_B_en_DE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ic_B_inf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ic_B_sup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p_B_ajustado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efecto_A_en_DE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p_A_ajustado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Compresión salarial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40,733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(VA/trabajador)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23,811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31,132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2026-09-24T21:39:56Z</dcterms:modified>
  <cp:category/>
</cp:coreProperties>
</file>