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Coeficiente del primer eslabón con exposición medida en 2022 y en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5"/>
        <w:gridCol w:w="2038"/>
        <w:gridCol w:w="1744"/>
        <w:gridCol w:w="2038"/>
        <w:gridCol w:w="1744"/>
        <w:gridCol w:w="299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pareja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coef_base_2022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p_base_2022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coef_base_2019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p_base_2019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porcentaje_que_sobrevive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25.2000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2026-09-24T20:46:49Z</dcterms:modified>
  <cp:category/>
</cp:coreProperties>
</file>