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Primer eslabón: efecto sobre el costo laboral por trabajador, tres lecturas y cinco medidas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Primer eslabón: efecto sobre el costo laboral por trabajador, tres lecturas y cinco medidas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53,971</w:t>
            </w:r>
          </w:p>
        </w:tc>
      </w:tr>
    </w:tbl>
    <w:p>
      <w:pPr>
        <w:pStyle w:val="Titre2"/>
      </w:pPr>
      <w:r>
        <w:t xml:space="preserve">Tabla 2. Segundo eslabón: efecto sobre el empleo total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Segundo eslabón: efecto sobre el empleo total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95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76.163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-182.367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334.694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-265.168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-497.799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-32.537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-137.485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-45.634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-198.866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-68.150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-136.185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-155.775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-151.067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-166.808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-381.297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-325.199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-176.289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-369.363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Trabajadores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-203.281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-399.456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 (cambio 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53,974</w:t>
            </w:r>
          </w:p>
        </w:tc>
      </w:tr>
    </w:tbl>
    <w:p>
      <w:pPr>
        <w:pStyle w:val="Titre2"/>
      </w:pPr>
      <w:r>
        <w:t xml:space="preserve">Tabla 3. Empleo total año por año frente a 2022 (log)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4. Elasticidad implícita empleo-costo laboral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</w:tr>
    </w:tbl>
    <w:p>
      <w:pPr>
        <w:pStyle w:val="Titre2"/>
      </w:pPr>
      <w:r>
        <w:t xml:space="preserve">Tabla 5. Mecanismos de ajuste: efecto en 2023 por DE de exposición (exploratorio)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3944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</w:tbl>
    <w:p>
      <w:pPr>
        <w:pStyle w:val="Titre2"/>
      </w:pPr>
      <w:r>
        <w:t xml:space="preserve">Tabla 6. Efecto en 2023 por tamaño de firma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</w:tbl>
    <w:p>
      <w:pPr>
        <w:pStyle w:val="Titre2"/>
      </w:pPr>
      <w:r>
        <w:t xml:space="preserve">Tabla 7. Coeficiente de 2023 con año base 2022 y 2019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8. Resultado principal con la medida Bite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2026-09-24T21:29:13Z</dcterms:modified>
  <cp:category/>
</cp:coreProperties>
</file>