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1. Primer eslabón: efecto sobre el costo laboral por trabajador, tres lecturas y cinco medidas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9"/>
        <w:gridCol w:w="4679"/>
        <w:gridCol w:w="1426"/>
        <w:gridCol w:w="1585"/>
        <w:gridCol w:w="1707"/>
        <w:gridCol w:w="1132"/>
        <w:gridCol w:w="1609"/>
        <w:gridCol w:w="1365"/>
        <w:gridCol w:w="1829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medida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lectura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ic95_inf_pct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ic95_sup_pct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p_previos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observaciones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4.030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2.921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5.139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ajustado por tendencia previa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4.797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3.609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5.985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-1.125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(proporción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53,984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(proporción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ajustado por tendencia previa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53,984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(proporción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-0.994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53,984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(nivel salarial, 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4.767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3.692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5.842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(nivel salarial, 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ajustado por tendencia previa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4.884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(nivel salarial, 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-2.505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-3.255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(armónica 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4.772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3.683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5.861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(armónica 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ajustado por tendencia previa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4.859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7.184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(armónica 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-1.921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-2.674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-1.168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 (costo laboral total)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10.886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9.519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12.252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53,971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 (costo laboral total)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ajustado por tendencia previa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10.973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13.787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53,971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 (costo laboral total)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DiD simple (promedio post - pre)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-2.281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-3.109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-1.453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53,971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2026-09-24T21:27:34Z</dcterms:modified>
  <cp:category/>
</cp:coreProperties>
</file>