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1: % de incoherencia antes y después de corregir por la base reducida del salario integral, 2008-2019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70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Fórmula original (divisor fijo 0.05)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Fórmula corregida (divisor mezclado según peso de C3R1)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2026-09-24T20:28:19Z</dcterms:modified>
  <cp:category/>
</cp:coreProperties>
</file>