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Causa 2: % incoherente por banda de intensidad de temporal directo, 2022 (correlación=-0.019)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85"/>
        <w:gridCol w:w="961"/>
        <w:gridCol w:w="197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banda_intensidad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pct_incoherente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0% (solo permanentes)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31.740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44.670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&gt;30%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33.390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2026-09-24T20:28:19Z</dcterms:modified>
  <cp:category/>
</cp:coreProperties>
</file>