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Causa 4: persistencia de la incoherencia, año a año (condicional vs. tasa base)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487"/>
        <w:gridCol w:w="961"/>
        <w:gridCol w:w="2576"/>
        <w:gridCol w:w="365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anio_desde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anio_hasta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pct_incoherente_base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pct_incoherente_si_lo_era_antes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98.540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98.990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98.800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99.250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39.260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63.730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67.490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70.500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49.930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59.430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57.500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57.140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2026-09-24T20:28:21Z</dcterms:modified>
  <cp:category/>
</cp:coreProperties>
</file>