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Pendiente anual pre-período (2015-2019, 2021), interacción exposición x año centrado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597"/>
        <w:gridCol w:w="2454"/>
        <w:gridCol w:w="1084"/>
        <w:gridCol w:w="1132"/>
        <w:gridCol w:w="1609"/>
        <w:gridCol w:w="108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pendiente_anual_pct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29,903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33,126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33,126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35,869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35,869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2026-09-27T14:57:31Z</dcterms:modified>
  <cp:category/>
</cp:coreProperties>
</file>