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Primer eslabón: efecto sobre el costo laboral por trabajador, tres lecturas y cinco medidas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2026-10-01T18:31:41Z</dcterms:modified>
  <cp:category/>
</cp:coreProperties>
</file>