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Elasticidad implícita empleo-costo laboral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2343"/>
        <w:gridCol w:w="1548"/>
        <w:gridCol w:w="1768"/>
        <w:gridCol w:w="1891"/>
        <w:gridCol w:w="1450"/>
        <w:gridCol w:w="2086"/>
        <w:gridCol w:w="220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primer_eslabon_pct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empleo_ic_sup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elasticidad_ic_sup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(proporción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-9.602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(nivel salarial, 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(armónica 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 (costo laboral total)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-1.879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2026-10-01T18:31:47Z</dcterms:modified>
  <cp:category/>
</cp:coreProperties>
</file>