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5c. Mecanismos significativos: 2023 y 2024 frente a 2022, a 2021 y al promedio previo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8"/>
        <w:gridCol w:w="2820"/>
        <w:gridCol w:w="1462"/>
        <w:gridCol w:w="1854"/>
        <w:gridCol w:w="1132"/>
        <w:gridCol w:w="1609"/>
        <w:gridCol w:w="1426"/>
        <w:gridCol w:w="1585"/>
        <w:gridCol w:w="1707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11.7660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(log; OJO: es la base del Kaitz)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obrero / salario admin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por temporal directo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-7.0371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administrativo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-6.1754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(indicador)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6.2449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Energía eléctrica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 / trabajador, 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por unidad de 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-8.6619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-4.5488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-8.8254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-11.4295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-6.2214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-8.5056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-10.6337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-6.5164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-4.2983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2026-10-01T18:32:02Z</dcterms:modified>
  <cp:category/>
</cp:coreProperties>
</file>