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9. Efecto en 2023 por quintil del Kaitz frente al quintil 1 (dosis-respuesta)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20"/>
        <w:gridCol w:w="985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-11.794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2026-10-01T18:32:09Z</dcterms:modified>
  <cp:category/>
</cp:coreProperties>
</file>