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9 (con control de tamaño x año). Efecto en 2023 por quintil del Kaitz frente al quintil 1 (dosis-respuesta)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39"/>
        <w:gridCol w:w="2820"/>
        <w:gridCol w:w="985"/>
        <w:gridCol w:w="1426"/>
        <w:gridCol w:w="1585"/>
        <w:gridCol w:w="1707"/>
        <w:gridCol w:w="1132"/>
        <w:gridCol w:w="1609"/>
        <w:gridCol w:w="1365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-5.627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2026-10-01T18:23:30Z</dcterms:modified>
  <cp:category/>
</cp:coreProperties>
</file>