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9a. Quintiles del Kaitz de obreros (2022): firmas y rangos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0"/>
        <w:gridCol w:w="1010"/>
        <w:gridCol w:w="1340"/>
        <w:gridCol w:w="1829"/>
        <w:gridCol w:w="140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quintil_kaitz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kaitz_mediano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2026-10-01T18:32:07Z</dcterms:modified>
  <cp:category/>
</cp:coreProperties>
</file>