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 (con control de tamaño x año). Sensibilidad del efecto de 2023 a violaciones de tendencias paralelas (HonestDiD)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214"/>
        <w:gridCol w:w="1413"/>
        <w:gridCol w:w="2038"/>
        <w:gridCol w:w="1157"/>
        <w:gridCol w:w="1084"/>
        <w:gridCol w:w="1707"/>
        <w:gridCol w:w="1365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efecto_2023_pct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excluye_cero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ic_abierto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2026-10-01T18:30:11Z</dcterms:modified>
  <cp:category/>
</cp:coreProperties>
</file>