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Event study de Bite según año base (ref. 2022, controles 2022, mismas firmas)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426"/>
        <w:gridCol w:w="1927"/>
        <w:gridCol w:w="1451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p_conjunto_pre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2026-09-16T22:21:00Z</dcterms:modified>
  <cp:category/>
</cp:coreProperties>
</file>