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3b. Costo laboral por trabajador en veces el salario mínimo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952"/>
        <w:gridCol w:w="2783"/>
        <w:gridCol w:w="2319"/>
        <w:gridCol w:w="250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mediana_veces_minimo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debajo_del_minimo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mas_de_10_minimos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2026-09-17T01:47:25Z</dcterms:modified>
  <cp:category/>
</cp:coreProperties>
</file>