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Diez sectores (CIIU4) con más firmas y % en alta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010"/>
        <w:gridCol w:w="30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porcentaje_alta_exposicion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2026-09-17T01:47:27Z</dcterms:modified>
  <cp:category/>
</cp:coreProperties>
</file>