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13b. Brecha salarial mediana frente a los obreros (%, en log x 100), por año y grupo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979"/>
        <w:gridCol w:w="2759"/>
        <w:gridCol w:w="2759"/>
        <w:gridCol w:w="25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brecha_admin_obrero_pct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brecha_prof_obrero_pct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firmas_con_dato_admin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firmas_con_dato_prof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2026-09-17T01:47:49Z</dcterms:modified>
  <cp:category/>
</cp:coreProperties>
</file>