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13c. Compresión salarial: efecto sobre salarios por categoría y brechas (exploratorio)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9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47,034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profesional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administrativo - obrero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profesional - obrero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2026-09-17T01:47:51Z</dcterms:modified>
  <cp:category/>
</cp:coreProperties>
</file>