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14. Efecto por tamaño de firma (salario y empleo, 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2575"/>
        <w:gridCol w:w="1462"/>
        <w:gridCol w:w="1854"/>
        <w:gridCol w:w="1132"/>
        <w:gridCol w:w="1609"/>
        <w:gridCol w:w="1609"/>
        <w:gridCol w:w="1731"/>
        <w:gridCol w:w="182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25,606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2026-09-17T01:47:55Z</dcterms:modified>
  <cp:category/>
</cp:coreProperties>
</file>