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6296"/>
        <w:gridCol w:w="8421"/>
        <w:gridCol w:w="183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pendiente_en_validaciones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sector, tamaño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al período de comparación (2022 fue un año de alto empleo) y magnitud tolerable de desviaciones (Honest DiD).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y gráfico G05 (primer eslabón).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salario relativo de las firmas expuestas venía cayendo hasta 2022 (prueba de años previos del salario). Separar el salto de 2023 de una recuperación de salarios bajos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sector, tamaño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el efecto fijo de año.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PAEF e incentivo a nuevos empleos pagaban un monto fijo por trabajador, con más peso en firmas de salarios bajos; 2024 como año sin subsidios.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y 2022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Revisar si hubo ajustes a finales de 2022.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 medir Kaitz en otros años.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Patrón de las tendencias previas en composición del empleo.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Separar compresión de cambios de composición; repetir con Kaitz medido en otro año.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2026-09-17T01:47:57Z</dcterms:modified>
  <cp:category/>
</cp:coreProperties>
</file>