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V2. Efecto promedio 2023-2024 según el período de comparación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87"/>
        <w:gridCol w:w="2942"/>
        <w:gridCol w:w="1462"/>
        <w:gridCol w:w="1854"/>
        <w:gridCol w:w="1132"/>
        <w:gridCol w:w="1609"/>
        <w:gridCol w:w="1609"/>
        <w:gridCol w:w="1731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resultado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comparacion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error_estandar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ic95_inferior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ic95_superior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(trabajadores)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Frente a 2022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-0.9222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1.3871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0.5062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-3.6409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1.7966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Frente a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-0.0072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Frente a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0.0579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(trabajadores)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Frente a 2021-2022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-1.4502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-3.6600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0.7596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Frente a 2021-2022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-0.0035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Frente a 2021-2022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0.0378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(trabajadores)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Frente a 2015-2019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-1.8419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-4.9791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1.2954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Frente a 2015-2019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Frente a 2015-2019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-0.0173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(trabajadores)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Frente a todos los previos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-1.7300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1.3558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-4.3873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0.9274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Frente a todos los previos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0.0052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(log)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Frente a todos los previos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-0.0105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-0.0183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-0.0027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2026-09-17T01:11:37Z</dcterms:modified>
  <cp:category/>
</cp:coreProperties>
</file>