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V11. Primer eslabón y empleo con Kaitz 2022, 2019 y promedio (mismas firmas)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6819"/>
        <w:gridCol w:w="1462"/>
        <w:gridCol w:w="1854"/>
        <w:gridCol w:w="1132"/>
        <w:gridCol w:w="1609"/>
        <w:gridCol w:w="1609"/>
        <w:gridCol w:w="1731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después menos promedio antes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2026-09-17T01:12:20Z</dcterms:modified>
  <cp:category/>
</cp:coreProperties>
</file>