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D3. Evolución por grupo de exposición (mediana e índice 2015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010"/>
        <w:gridCol w:w="1132"/>
        <w:gridCol w:w="1695"/>
        <w:gridCol w:w="1695"/>
        <w:gridCol w:w="1940"/>
        <w:gridCol w:w="1267"/>
        <w:gridCol w:w="1719"/>
        <w:gridCol w:w="1829"/>
        <w:gridCol w:w="1756"/>
        <w:gridCol w:w="2184"/>
        <w:gridCol w:w="2637"/>
        <w:gridCol w:w="1756"/>
        <w:gridCol w:w="241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indice_productividad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9,311,159.0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9,285,475.0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3,914,030.0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56,869.8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10,230,026.0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10,587,532.5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4,376,401.5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10,633,032.0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10,786,286.0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4,377,206.0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27,169.7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60,798.2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11,423,777.5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11,247,204.0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4,791,475.5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63,398.1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11,808,390.5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11,873,112.0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5,398,758.0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31,485.2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68,873.3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14,113,075.0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14,402,983.0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6,538,964.0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85,371.9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18,513,440.0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19,491,598.0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8,225,796.0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38,488.8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103,257.7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18,095,779.0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18,813,687.0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8,501,520.0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103,795.8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18,763,705.0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19,071,534.0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8,842,020.0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46,248.7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104,804.9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2,265,901.5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2,279,334.5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1,029,022.0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17,701.8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36,012.1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2,353,996.0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2,394,842.0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1,042,066.0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2,244,486.0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2,301,525.0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1,037,726.0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36,976.7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2,322,186.0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2,365,904.5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1,061,676.5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38,457.9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2,485,908.5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2,437,306.5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1,116,503.5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2,596,000.0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2,621,382.0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1,192,768.0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44,981.4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3,088,720.0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3,067,997.0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1,359,775.0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3,209,331.5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3,176,872.5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1,444,753.0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54,215.5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3,442,576.5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3,399,497.0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1,551,869.5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32,766.3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57,439.5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2026-09-20T00:45:29Z</dcterms:modified>
  <cp:category/>
</cp:coreProperties>
</file>