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D4. Estructura de costos e inversión por grupo y año (medianas, 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961"/>
        <w:gridCol w:w="3591"/>
        <w:gridCol w:w="2747"/>
        <w:gridCol w:w="277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costo_laboral_sobre_produccion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costo_laboral_sobre_va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inversion_sobre_activos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2026-09-20T00:45:33Z</dcterms:modified>
  <cp:category/>
</cp:coreProperties>
</file>