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D4b. Subcontratación: porcentaje de firmas que la usan y peso entre las que la usan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52"/>
        <w:gridCol w:w="961"/>
        <w:gridCol w:w="1010"/>
        <w:gridCol w:w="2098"/>
        <w:gridCol w:w="2184"/>
        <w:gridCol w:w="3407"/>
        <w:gridCol w:w="1964"/>
        <w:gridCol w:w="205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pct_usa_terceros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pct_usa_agencias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pct_tiene_temporales_agencia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terceros_si_usa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agencias_si_usa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15.95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11.94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11.89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2026-09-20T00:45:37Z</dcterms:modified>
  <cp:category/>
</cp:coreProperties>
</file>