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D5. Composición del empleo por grupo y año (medianas, % del empleo total)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961"/>
        <w:gridCol w:w="1695"/>
        <w:gridCol w:w="1499"/>
        <w:gridCol w:w="1291"/>
        <w:gridCol w:w="115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agencias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2026-09-20T00:45:40Z</dcterms:modified>
  <cp:category/>
</cp:coreProperties>
</file>